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32558B" w:rsidRPr="00154950" w:rsidTr="000D1FCD">
        <w:tc>
          <w:tcPr>
            <w:tcW w:w="5148" w:type="dxa"/>
          </w:tcPr>
          <w:p w:rsidR="0032558B" w:rsidRPr="00154950" w:rsidRDefault="0032558B" w:rsidP="000D1F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32558B" w:rsidRPr="00154950" w:rsidRDefault="0058284C" w:rsidP="0054057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 3</w:t>
            </w:r>
          </w:p>
          <w:p w:rsidR="0032558B" w:rsidRPr="00154950" w:rsidRDefault="0032558B" w:rsidP="0054057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58B" w:rsidRPr="00154950" w:rsidRDefault="0032558B" w:rsidP="0054057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95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2558B" w:rsidRPr="00154950" w:rsidRDefault="0032558B" w:rsidP="0054057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950">
              <w:rPr>
                <w:rFonts w:ascii="Times New Roman" w:hAnsi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32558B" w:rsidRPr="00154950" w:rsidRDefault="0058284C" w:rsidP="0054057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ДК «Салют</w:t>
            </w:r>
            <w:bookmarkStart w:id="0" w:name="_GoBack"/>
            <w:bookmarkEnd w:id="0"/>
            <w:r w:rsidR="000B26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2558B" w:rsidRPr="00154950" w:rsidRDefault="0058284C" w:rsidP="0054057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2558B" w:rsidRPr="00154950">
              <w:rPr>
                <w:rFonts w:ascii="Times New Roman" w:hAnsi="Times New Roman"/>
                <w:color w:val="000000"/>
                <w:sz w:val="24"/>
                <w:szCs w:val="24"/>
              </w:rPr>
              <w:t>.12.2018 №</w:t>
            </w:r>
            <w:r w:rsidR="0054057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32558B" w:rsidRPr="00154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32558B" w:rsidRPr="00154950" w:rsidRDefault="0032558B" w:rsidP="003F25F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558B" w:rsidRPr="00154950" w:rsidRDefault="0032558B" w:rsidP="003F25FA">
      <w:pPr>
        <w:spacing w:after="0"/>
        <w:ind w:left="637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558B" w:rsidRPr="00154950" w:rsidRDefault="0032558B" w:rsidP="003F25FA">
      <w:pPr>
        <w:spacing w:after="0"/>
        <w:ind w:left="63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58B" w:rsidRPr="00154950" w:rsidRDefault="0032558B" w:rsidP="003F25FA">
      <w:pPr>
        <w:spacing w:after="0"/>
        <w:ind w:left="637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58B" w:rsidRPr="000B2668" w:rsidRDefault="0032558B" w:rsidP="00602FF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B266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ПОЛОЖЕНИЕ </w:t>
      </w:r>
      <w:r w:rsidRPr="000B266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0B2668" w:rsidRPr="000B2668" w:rsidRDefault="000B2668" w:rsidP="00CD416B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B266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б</w:t>
      </w:r>
      <w:r w:rsidRPr="000B266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антикоррупционной политике </w:t>
      </w:r>
    </w:p>
    <w:p w:rsidR="0032558B" w:rsidRPr="000B2668" w:rsidRDefault="000B2668" w:rsidP="00CD416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B266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М</w:t>
      </w:r>
      <w:r w:rsidR="0032558B" w:rsidRPr="000B266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униципального бюджетного учреждения культуры </w:t>
      </w:r>
    </w:p>
    <w:p w:rsidR="0032558B" w:rsidRPr="000B2668" w:rsidRDefault="0058284C" w:rsidP="00CD416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Дворец культуры «Салют</w:t>
      </w:r>
      <w:r w:rsidR="000B2668" w:rsidRPr="000B266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32558B" w:rsidRPr="00154950" w:rsidRDefault="0032558B" w:rsidP="00602FF4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2558B" w:rsidRPr="00154950" w:rsidRDefault="0032558B" w:rsidP="00602FF4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1.Общие положения</w:t>
      </w:r>
    </w:p>
    <w:p w:rsidR="0032558B" w:rsidRPr="00D358C1" w:rsidRDefault="0032558B" w:rsidP="00602FF4">
      <w:pPr>
        <w:shd w:val="clear" w:color="auto" w:fill="FFFFFF"/>
        <w:spacing w:after="0"/>
        <w:ind w:left="720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32558B" w:rsidRPr="00154950" w:rsidRDefault="00540572" w:rsidP="000B266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32558B"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Настоящая Антикоррупционная политика (далее – Политика) является базовым </w:t>
      </w:r>
      <w:r w:rsidR="0032558B" w:rsidRPr="000B266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документом</w:t>
      </w:r>
      <w:r w:rsidR="0032558B" w:rsidRPr="000B2668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0B2668" w:rsidRPr="000B26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бюджетного учреждения культуры Дворец культуры </w:t>
      </w:r>
      <w:r w:rsidR="00582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«Салют</w:t>
      </w:r>
      <w:r w:rsidR="000B2668" w:rsidRPr="000B2668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32558B" w:rsidRPr="001549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32558B"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32558B" w:rsidRPr="00154950" w:rsidRDefault="0032558B" w:rsidP="0036586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Нормативными актами, регулирующими антикоррупционную политику 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являются также </w:t>
      </w:r>
      <w:r w:rsidRPr="00154950">
        <w:rPr>
          <w:rFonts w:ascii="Times New Roman" w:hAnsi="Times New Roman"/>
          <w:color w:val="000000"/>
          <w:sz w:val="24"/>
          <w:szCs w:val="24"/>
        </w:rPr>
        <w:t>Федеральный закон от 02.03.2007 № 25-ФЗ  «О муниципальной службе в Российской Федерации», Федеральный закон от 29.12.2012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№ 273-ФЗ «Об образовании в Российской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Федерации»,  №44-ФЗ «О контрактной системе в сфере закупок товаров, работ, услуг для обеспечения государственных и муниципальных нужд»,  другие локальные акты.</w:t>
      </w:r>
    </w:p>
    <w:p w:rsidR="0032558B" w:rsidRPr="00154950" w:rsidRDefault="0032558B" w:rsidP="0036586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 Настоящей Антикоррупционной политикой устанавливаются: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-основные принципы противодействия коррупции;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-правовые и организационные основы предупреждения коррупции и борьбы с ней;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-минимизации и (или) ликвидации последствий коррупционных правонарушений.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ст.13.3 Федерального закона №273-ФЗ меры по предупреждению коррупции, принимаемые в организации, могут включать: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4) принятие кодекса этики и служебного поведения работников Учреждения;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5) предотвращение и урегулирование конфликта интересов;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32558B" w:rsidRPr="00154950" w:rsidRDefault="0032558B" w:rsidP="000349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Антикоррупционная политика Учреждения направлена на реализацию данных мер.</w:t>
      </w:r>
    </w:p>
    <w:p w:rsidR="0032558B" w:rsidRPr="00154950" w:rsidRDefault="0032558B" w:rsidP="000349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1.4.   Для целей настоящей Антикоррупционной политики используются следующие основные понятия: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Коррупция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32558B" w:rsidRPr="00540572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Коммерческий подкуп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2558B" w:rsidRPr="00540572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32558B" w:rsidRPr="004306B4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405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Личная заинтересованность работника (представителя Учреждения - заинтересованность работника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(представителя Учреждения, связанная с возможностью получения работником (представителем организации) при исполнении должностных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32558B" w:rsidRPr="004306B4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558B" w:rsidRPr="00154950" w:rsidRDefault="0032558B" w:rsidP="00602FF4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 задачи внедрения антикоррупционной политики</w:t>
      </w:r>
    </w:p>
    <w:p w:rsidR="0032558B" w:rsidRPr="00D358C1" w:rsidRDefault="0032558B" w:rsidP="00602FF4">
      <w:pPr>
        <w:shd w:val="clear" w:color="auto" w:fill="FFFFFF"/>
        <w:spacing w:after="0"/>
        <w:ind w:left="720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32558B" w:rsidRPr="00154950" w:rsidRDefault="0032558B" w:rsidP="009D3B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Основными целями антикоррупционной политики являются: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306B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предупреждение коррупции в Учреждении;</w:t>
      </w:r>
    </w:p>
    <w:p w:rsidR="0032558B" w:rsidRPr="00154950" w:rsidRDefault="0032558B" w:rsidP="00602F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- обеспечение ответственности за коррупционные правонарушения;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антикоррупционного сознания у работников Учреждения.</w:t>
      </w:r>
    </w:p>
    <w:p w:rsidR="0032558B" w:rsidRPr="00154950" w:rsidRDefault="0032558B" w:rsidP="009D3B6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2.2. Основные задачи антикоррупционной политики Учреждение: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работников понимания позиции Учреждения в неприятии коррупции в любых формах и проявлениях;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минимизация риска вовлечения работников Учреждения в коррупционную деятельность;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обеспечение ответственности за коррупционные правонарушения;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мониторинг эффективности мероприятий антикоррупционной политики;</w:t>
      </w:r>
    </w:p>
    <w:p w:rsidR="0032558B" w:rsidRPr="004306B4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32558B" w:rsidRPr="004306B4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558B" w:rsidRPr="004306B4" w:rsidRDefault="0032558B" w:rsidP="00602FF4">
      <w:pPr>
        <w:shd w:val="clear" w:color="auto" w:fill="FFFFFF"/>
        <w:spacing w:after="0"/>
        <w:ind w:left="720" w:hanging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Основные принципы антикоррупционной деятельности Учреждения</w:t>
      </w:r>
    </w:p>
    <w:p w:rsidR="0032558B" w:rsidRPr="004306B4" w:rsidRDefault="0032558B" w:rsidP="00602FF4">
      <w:pPr>
        <w:shd w:val="clear" w:color="auto" w:fill="FFFFFF"/>
        <w:spacing w:after="0"/>
        <w:ind w:left="720" w:hanging="720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ней: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информирование контрагентов, партнеров и общественности о принятых в Учреждении антикоррупционных стандартах работы;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их исполнением;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3.3. Приоритета защиты прав и законных интересов физических и юридических лиц;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3.4. Взаимодействие с общественными объединениями и гражданами: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4950">
        <w:rPr>
          <w:color w:val="000000"/>
        </w:rPr>
        <w:t xml:space="preserve">- </w:t>
      </w:r>
      <w:hyperlink r:id="rId8" w:history="1">
        <w:r w:rsidRPr="00154950">
          <w:rPr>
            <w:rFonts w:ascii="Times New Roman" w:hAnsi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3.6. Личного примера руководства Учреждением: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3.7. Соразмерности антикоррупционных процедур риску коррупции: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3.8. Эффективности антикоррупционных процедур: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приносят значимый результат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2558B" w:rsidRPr="00154950" w:rsidRDefault="0032558B" w:rsidP="00330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3.9. Ответственности и неотвратимости наказания: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32558B" w:rsidRDefault="0032558B" w:rsidP="00602FF4">
      <w:pPr>
        <w:shd w:val="clear" w:color="auto" w:fill="FFFFFF"/>
        <w:spacing w:before="100" w:after="100"/>
        <w:ind w:left="720" w:hanging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Область применения политики и круг лиц, попадающих под ее действие</w:t>
      </w:r>
    </w:p>
    <w:p w:rsidR="0032558B" w:rsidRPr="00D358C1" w:rsidRDefault="0032558B" w:rsidP="00D358C1">
      <w:pPr>
        <w:shd w:val="clear" w:color="auto" w:fill="FFFFFF"/>
        <w:spacing w:after="0"/>
        <w:ind w:left="720" w:hanging="720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директор, заместитель директора.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Задачи, функции и полномочия уполномоченного лица в сфере противодействия коррупции определены его должностной инструкцией.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Эти обязанности включают в частности: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проведения оценки коррупционных рисков;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заполнения и рассмотрения деклараций о конфликте интересов;</w:t>
      </w:r>
    </w:p>
    <w:p w:rsidR="0032558B" w:rsidRPr="00154950" w:rsidRDefault="0032558B" w:rsidP="006215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558B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558B" w:rsidRDefault="0032558B" w:rsidP="00D358C1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Общие и специальные обязанности работников Учреждения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4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связи с предупреждением и  противодействием коррупции</w:t>
      </w:r>
    </w:p>
    <w:p w:rsidR="0032558B" w:rsidRPr="00D358C1" w:rsidRDefault="0032558B" w:rsidP="00D358C1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32558B" w:rsidRPr="00154950" w:rsidRDefault="0032558B" w:rsidP="00D358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5.1. Общие обязанности работников Учреждения в связи с предупреждением и  противодействием коррупции: </w:t>
      </w:r>
    </w:p>
    <w:p w:rsidR="0032558B" w:rsidRPr="00154950" w:rsidRDefault="0032558B" w:rsidP="00602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32558B" w:rsidRPr="00154950" w:rsidRDefault="0032558B" w:rsidP="00602F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2558B" w:rsidRPr="00154950" w:rsidRDefault="0032558B" w:rsidP="00602F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32558B" w:rsidRPr="00154950" w:rsidRDefault="0032558B" w:rsidP="00602F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2558B" w:rsidRPr="00154950" w:rsidRDefault="0032558B" w:rsidP="00602F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2558B" w:rsidRPr="00154950" w:rsidRDefault="0032558B" w:rsidP="00FC371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руководства Учреждения;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лиц, ответственных за реализацию антикоррупционной политики;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работников, чья деятельность связана с коррупционными рисками;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лиц, осуществляющих внутренний контроль и аудит, и т.д.</w:t>
      </w:r>
    </w:p>
    <w:p w:rsidR="0032558B" w:rsidRPr="00154950" w:rsidRDefault="0032558B" w:rsidP="00602F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32558B" w:rsidRDefault="0032558B" w:rsidP="00602FF4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32558B" w:rsidRDefault="0032558B" w:rsidP="00D358C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Применимое антикоррупционное законодательство</w:t>
      </w:r>
    </w:p>
    <w:p w:rsidR="0032558B" w:rsidRPr="00D358C1" w:rsidRDefault="0032558B" w:rsidP="00D358C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32558B" w:rsidRPr="00154950" w:rsidRDefault="0032558B" w:rsidP="00D358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Российское антикоррупционное законодательство: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Учреждение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С учетом изложенного всем работникам Учреждения 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организаций, включая 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коммерческие организации, органы власти и самоуправления, государственных служащих, частных компаний и их представителей.</w:t>
      </w:r>
    </w:p>
    <w:p w:rsidR="0032558B" w:rsidRDefault="0032558B" w:rsidP="00D358C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Подарки и деловое гостеприимство</w:t>
      </w:r>
    </w:p>
    <w:p w:rsidR="0032558B" w:rsidRPr="00D358C1" w:rsidRDefault="0032558B" w:rsidP="00D358C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32558B" w:rsidRPr="00154950" w:rsidRDefault="0032558B" w:rsidP="00D358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Подарки, которые работники от имени Учреждения могут предоставлять другим лицам и организациям, либо которые работники, в связи с их работой в Учреждении, могут получать от других лиц и организаций, а также расходы на деловое гостеприимство, которые могут нести работники от имени Учреждения, должны одновременно соответствовать пяти указным ниже критериям:</w:t>
      </w:r>
      <w:proofErr w:type="gramEnd"/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быть прямо связаны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законными целями деятельности Учреждения, например, с общенациональными праздниками (Новый год, 8 марта, 23 февраля, день рождения Учреждения, День работника культуры и т.д.), юбилейными датами работников, творческих коллективов;</w:t>
      </w:r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быть разумно обоснованными, соразмерными и не являться предметами роскоши. Стоимость подарка не может превышать 3</w:t>
      </w:r>
      <w:r w:rsidR="000B2668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00,00 рублей;</w:t>
      </w:r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расходы должны быть согласованы с директором Учреждения;</w:t>
      </w:r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 создавать </w:t>
      </w:r>
      <w:proofErr w:type="spell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репутационного</w:t>
      </w:r>
      <w:proofErr w:type="spell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риска для Учреждения, работников и иных лиц в случае раскрытия информации о подарках или представительских расходах;</w:t>
      </w:r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не противоречить принципам и требованиям настоящей Антикоррупционной политики, Кодекса этики и служебного поведения работников, другим внутренним документам Учреждения и нормам применимого законодательства.</w:t>
      </w:r>
    </w:p>
    <w:p w:rsidR="0032558B" w:rsidRPr="00154950" w:rsidRDefault="0032558B" w:rsidP="0015495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7.2. Подарки в виде сувенирной продукции (продукции невысокой стоимости) с символикой Учреждения, предоставляемые на выставках, открытых презентациях, форумах и иных представительских и маркетинговых мероприятиях, в которых официально участвует Учреждение, допускаются и рассматриваются в качестве </w:t>
      </w:r>
      <w:proofErr w:type="spell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имиджевых</w:t>
      </w:r>
      <w:proofErr w:type="spell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32558B" w:rsidRDefault="0032558B" w:rsidP="004A1CB4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7.3. Не допускаются подарки от имени Учреждения, его работников и представителей третьим лицам в виде денежных средств, как наличных, так и безналичных, независимо от валюты.</w:t>
      </w:r>
    </w:p>
    <w:p w:rsidR="0032558B" w:rsidRPr="00154950" w:rsidRDefault="0032558B" w:rsidP="004A1CB4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Участие в благотворительной деятельности и спонсорство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8.1. Учреждение  может принимать участие в благотворительных проектах в качестве организатора (</w:t>
      </w:r>
      <w:proofErr w:type="spell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соорганизатора</w:t>
      </w:r>
      <w:proofErr w:type="spell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) мероприятия, направленного на привлечение денежных сре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я оказания помощи инвалидам и гражданам, попавшим в трудную жизненную ситуацию, информировать работников о проведении благотворительных мероприятий.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8.2. Работники Учреждения  могут коллективно, от своего имени или анонимно участвовать в благотворительных акциях, перечисляя денежные средства для оказания помощи инвалидам и гражданам, попавшим в трудную жизненную ситуацию.</w:t>
      </w:r>
    </w:p>
    <w:p w:rsidR="0032558B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8.3. Учреждение не финансирует благотворительные и спонсорские проекты в целях получения коммерческих преимуществ в конкретных проектах.</w:t>
      </w:r>
    </w:p>
    <w:p w:rsidR="0032558B" w:rsidRPr="00154950" w:rsidRDefault="0032558B" w:rsidP="004A1CB4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Участие в политической деятельности</w:t>
      </w:r>
    </w:p>
    <w:p w:rsidR="0032558B" w:rsidRDefault="0032558B" w:rsidP="004A1CB4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9.1. Учреждение  не финансирует политические партии, организации и движения в целях получения коммерческих преимуществ в конкретных проектах.</w:t>
      </w:r>
    </w:p>
    <w:p w:rsidR="0032558B" w:rsidRPr="00154950" w:rsidRDefault="0032558B" w:rsidP="00154950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Взаимодействие с государственными служащими</w:t>
      </w:r>
    </w:p>
    <w:p w:rsidR="0032558B" w:rsidRDefault="0032558B" w:rsidP="004A1CB4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10.1. Учреждение воздерживается от оплаты любых расходов за государственных служащих и их близких родственников (или в их интересах) в целях получения 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коммерческих преимуществ в конкретных проектах, в том числе расходов на транспорт, проживание, питание, развлечения и т.п.</w:t>
      </w:r>
    </w:p>
    <w:p w:rsidR="0032558B" w:rsidRPr="00154950" w:rsidRDefault="0032558B" w:rsidP="00880138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 Взаимодействие с работниками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11.1. Учреждение требует от своих работников соблюдения настоящей Антикоррупционной политики, информируя их о ключевых принципах, требованиях и санкциях за нарушения.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11.2. В Учреждении организовано безопасное, конфиденциальное и доступное средство информирования руководства Учреждения («горячая электронная линия») о фактах взяточничества со стороны лиц, оказывающих услуги в интересах коммерческой организации или от ее имени. 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11.3. Для формирования надлежащего уровня антикоррупционной культуры с новыми работниками специалистом по кадрам проводится ознакомление с положениями настоящей Антикоррупционной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11.4.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В рамках формирования в надлежащего уровня антикоррупционной культуры, для работников проводятся периодические информационные семинары в очной и/или дистанционной форме, а также ознакомление с положениями настоящей Антикоррупционной политики и связанных с ней документов – для всех новых работников Учреждения.</w:t>
      </w:r>
      <w:proofErr w:type="gramEnd"/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11.5. Учреждение проводит инструктивно-методические совещания,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антикоррупционных мероприятиях. Целью обучения является овладение каждым обучаемым приемами и навыками использования антикоррупционной политики и мероприятий на практике.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11.6. Соблюдение работниками принципов и требований настоящей Антикоррупционной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32558B" w:rsidRPr="00154950" w:rsidRDefault="0032558B" w:rsidP="00880138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12. Платежи через посредников или в пользу третьих лиц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12.1. Учреждению и его работникам запрещается привлекать или использовать посредников, партнеров или иных лиц для совершения каких-либо действий, которые противоречат принципам и требованиям настоящей Антикоррупционной политики или нормам применимого антикоррупционного законодательства.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12.2. Учреждение  обеспечивает наличие процедур по проверке посредников, партнеров и иных лиц для предотвращения и/или выявления описанных выше нарушений в целях минимизации и пресечения рисков вовлечения в коррупционную деятельность.</w:t>
      </w:r>
    </w:p>
    <w:p w:rsidR="0032558B" w:rsidRPr="00154950" w:rsidRDefault="0032558B" w:rsidP="00880138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 Ведение бухгалтерских книг и записей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13.1. Все финансовые операции должны быть аккуратно, правильно и с достаточным уровнем детализации отражены в бухгалтерском учете Учре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дения, задокументированы и доступны для проверки.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13.2. В Учреждении, либо в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бслуживающей организации назнач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аются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32558B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Искажение или фальсификация бухгалтерской отчётности строго запрещены и расцениваются как мошенничество.</w:t>
      </w:r>
      <w:proofErr w:type="gramEnd"/>
    </w:p>
    <w:p w:rsidR="0032558B" w:rsidRPr="00154950" w:rsidRDefault="0032558B" w:rsidP="00880138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 Отказ от ответных мер и санкций</w:t>
      </w:r>
    </w:p>
    <w:p w:rsidR="0032558B" w:rsidRDefault="0032558B" w:rsidP="004A1CB4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14.1. Учреждение заявляет о том, что ни один работник не будет,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в результате такого отказа у него возникла упущенная выгода или не были получены коммерческие и конкурентные преимущества.</w:t>
      </w:r>
    </w:p>
    <w:p w:rsidR="0032558B" w:rsidRPr="00154950" w:rsidRDefault="0032558B" w:rsidP="00D358C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пересмотра и внесения изменений </w:t>
      </w:r>
    </w:p>
    <w:p w:rsidR="0032558B" w:rsidRDefault="0032558B" w:rsidP="00D358C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Антикоррупционную политику</w:t>
      </w:r>
    </w:p>
    <w:p w:rsidR="0032558B" w:rsidRPr="00D358C1" w:rsidRDefault="0032558B" w:rsidP="00D358C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15.1. В процессе работы должен осуществляться регулярный мониторинг хода выполнения и эффективности реализации антикоррупционной политики учреждения. Должностное лицо, на которое возложены функции по профилактике и противодействию коррупции,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Директор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уполномоченное лицо) организует разработку и реализацию плана действий по актуализации настоящей Антикоррупционной политики.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15.2. Пересмотр принятой антикоррупционной политики проводится также в случаях внесения изменений в Трудовой кодекс РФ и законодательство о противодействии коррупции, изменение организационно-правовой формы организации и т.д.</w:t>
      </w:r>
    </w:p>
    <w:p w:rsidR="0032558B" w:rsidRPr="00154950" w:rsidRDefault="0032558B" w:rsidP="00880138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 Ответственность за неисполнение (ненадлежащее исполнение) настоящей Антикоррупционной политики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16.1. Работники всех структурных подразделений Учреждения, независимо от занимаемой должности, несут персональную ответственность за соблюдение принципов и требований настоящей Антикоррупционной политики, а также за действия (бездействие) подчинённых им лиц, нарушающие эти принципы и требования.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16.2. Поскольку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может быть подвергнут санкциям за участие его работников, и иных лиц в коррупционной деятельности, то по каждому разумно обоснованному подозрению или установленному факту коррупции будут инициироваться служебные проверки в рамках, допустимых применимым законодательством.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16.3. 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нормативными правовыми актами и трудовыми договорами.</w:t>
      </w:r>
    </w:p>
    <w:p w:rsidR="0032558B" w:rsidRDefault="0032558B" w:rsidP="00880138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 Ключевые принципы</w:t>
      </w:r>
    </w:p>
    <w:p w:rsidR="0032558B" w:rsidRPr="00D358C1" w:rsidRDefault="0032558B" w:rsidP="00D358C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17.1. Миссия высшего руководства: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Директор и высшие должностные лица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В Учреждении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17.2. Периодическая оценка рисков: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Учреждение на периодической основе выявляет, рассматривает, и оценивает коррупционные риски, характерные для его деятельности в целом и для отдельных направлений в частности.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17.3. Адекватные антикоррупционные мероприятия: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Учреждение проводит мероприятия по предотвращению коррупции, разумно отвечающие выявленным рискам на основе: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признания, обеспечения и </w:t>
      </w: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защиты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основных прав и свобод человека и гражданина;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законности;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публичности и открытости;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неотвратимости ответственности за совершение коррупционных правонарушений;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комплексного использования организационных, информационно-пропагандистских и других мер;</w:t>
      </w:r>
    </w:p>
    <w:p w:rsidR="0032558B" w:rsidRPr="00154950" w:rsidRDefault="0032558B" w:rsidP="00540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- приоритетного применения мер по предупреждению коррупции.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17.4. Проверка контрагентов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Учреждение 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</w:t>
      </w:r>
      <w:proofErr w:type="spell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. проверка наличия у них собственных антикоррупционных мероприятий или политик, их готовности соблюдать требования настоящей Антикоррупционной политики и включать в договоры антикоррупционные условия (оговорки), а также оказывать взаимное содействие для этичного ведения</w:t>
      </w:r>
      <w:proofErr w:type="gramEnd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бизнеса и предотвращения коррупции.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17.5. Информирование и обучение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Учреждение размещает настоящую Антикоррупционной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Антикоррупционной политики всеми контрагентами, своими работниками и иными лицами.</w:t>
      </w:r>
      <w:proofErr w:type="gramEnd"/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17.6. Мониторинг и контроль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950">
        <w:rPr>
          <w:rFonts w:ascii="Times New Roman" w:hAnsi="Times New Roman"/>
          <w:color w:val="000000"/>
          <w:sz w:val="24"/>
          <w:szCs w:val="24"/>
          <w:lang w:eastAsia="ru-RU"/>
        </w:rPr>
        <w:t>В связи с возможным изменением во времени коррупционных рисков и иных факторов, оказывающих влияние на хозяйственную деятельность, Учреждение 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пересматривает, и совершенствует их.</w:t>
      </w:r>
    </w:p>
    <w:p w:rsidR="0032558B" w:rsidRPr="00154950" w:rsidRDefault="0032558B" w:rsidP="0054057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558B" w:rsidRPr="00154950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Pr="00154950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Pr="00154950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Pr="00154950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Pr="00154950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558B" w:rsidRPr="00585C0E" w:rsidRDefault="0032558B" w:rsidP="00940CDF">
      <w:pPr>
        <w:shd w:val="clear" w:color="auto" w:fill="FFFFFF"/>
        <w:spacing w:after="10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85C0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ЛИСТ ОЗНАКОМЛЕНИЯ</w:t>
      </w:r>
    </w:p>
    <w:p w:rsidR="0032558B" w:rsidRDefault="0032558B" w:rsidP="00154950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85C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Положением </w:t>
      </w:r>
      <w:r w:rsidRPr="00585C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антикоррупционной политике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МБУК </w:t>
      </w:r>
      <w:r w:rsidR="000B26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ДК  «Акация»</w:t>
      </w:r>
    </w:p>
    <w:p w:rsidR="0032558B" w:rsidRPr="00585C0E" w:rsidRDefault="0032558B" w:rsidP="00940CDF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827"/>
        <w:gridCol w:w="3119"/>
        <w:gridCol w:w="1842"/>
      </w:tblGrid>
      <w:tr w:rsidR="0032558B" w:rsidRPr="00154950" w:rsidTr="004D1A9C">
        <w:tc>
          <w:tcPr>
            <w:tcW w:w="464" w:type="dxa"/>
          </w:tcPr>
          <w:p w:rsidR="0032558B" w:rsidRPr="00154950" w:rsidRDefault="0032558B" w:rsidP="00585C0E">
            <w:pPr>
              <w:shd w:val="clear" w:color="auto" w:fill="FFFFFF"/>
              <w:spacing w:after="100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9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7" w:type="dxa"/>
          </w:tcPr>
          <w:p w:rsidR="0032558B" w:rsidRPr="00154950" w:rsidRDefault="0032558B" w:rsidP="004306B4">
            <w:pPr>
              <w:shd w:val="clear" w:color="auto" w:fill="FFFFFF"/>
              <w:spacing w:after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9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19" w:type="dxa"/>
          </w:tcPr>
          <w:p w:rsidR="0032558B" w:rsidRPr="00154950" w:rsidRDefault="0032558B" w:rsidP="00585C0E">
            <w:pPr>
              <w:shd w:val="clear" w:color="auto" w:fill="FFFFFF"/>
              <w:spacing w:after="100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9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</w:tcPr>
          <w:p w:rsidR="0032558B" w:rsidRPr="00154950" w:rsidRDefault="0032558B" w:rsidP="00585C0E">
            <w:pPr>
              <w:shd w:val="clear" w:color="auto" w:fill="FFFFFF"/>
              <w:spacing w:after="100"/>
              <w:ind w:firstLine="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9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32558B" w:rsidRPr="00154950" w:rsidTr="004D1A9C">
        <w:tc>
          <w:tcPr>
            <w:tcW w:w="464" w:type="dxa"/>
          </w:tcPr>
          <w:p w:rsidR="0032558B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2558B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32558B" w:rsidRPr="00154950" w:rsidRDefault="0032558B" w:rsidP="00940CDF">
            <w:pPr>
              <w:shd w:val="clear" w:color="auto" w:fill="FFFFFF"/>
              <w:spacing w:after="100"/>
              <w:ind w:firstLine="708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32558B" w:rsidRPr="00154950" w:rsidRDefault="0032558B" w:rsidP="000B2668">
      <w:pPr>
        <w:shd w:val="clear" w:color="auto" w:fill="FFFFFF"/>
        <w:spacing w:after="10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2558B" w:rsidRPr="00154950" w:rsidSect="00034924">
      <w:headerReference w:type="even" r:id="rId9"/>
      <w:headerReference w:type="default" r:id="rId10"/>
      <w:footerReference w:type="even" r:id="rId11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0B" w:rsidRDefault="00B9670B">
      <w:r>
        <w:separator/>
      </w:r>
    </w:p>
  </w:endnote>
  <w:endnote w:type="continuationSeparator" w:id="0">
    <w:p w:rsidR="00B9670B" w:rsidRDefault="00B9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8B" w:rsidRDefault="0032558B" w:rsidP="000965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58B" w:rsidRDefault="0032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0B" w:rsidRDefault="00B9670B">
      <w:r>
        <w:separator/>
      </w:r>
    </w:p>
  </w:footnote>
  <w:footnote w:type="continuationSeparator" w:id="0">
    <w:p w:rsidR="00B9670B" w:rsidRDefault="00B9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8B" w:rsidRDefault="0032558B" w:rsidP="0009653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58B" w:rsidRDefault="003255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8B" w:rsidRPr="009D3B63" w:rsidRDefault="0032558B" w:rsidP="0009653E">
    <w:pPr>
      <w:pStyle w:val="a9"/>
      <w:framePr w:wrap="around" w:vAnchor="text" w:hAnchor="margin" w:xAlign="center" w:y="1"/>
      <w:rPr>
        <w:rStyle w:val="a8"/>
        <w:rFonts w:ascii="Times New Roman" w:hAnsi="Times New Roman"/>
        <w:sz w:val="20"/>
        <w:szCs w:val="20"/>
      </w:rPr>
    </w:pPr>
    <w:r w:rsidRPr="009D3B63">
      <w:rPr>
        <w:rStyle w:val="a8"/>
        <w:rFonts w:ascii="Times New Roman" w:hAnsi="Times New Roman"/>
        <w:sz w:val="20"/>
        <w:szCs w:val="20"/>
      </w:rPr>
      <w:fldChar w:fldCharType="begin"/>
    </w:r>
    <w:r w:rsidRPr="009D3B63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9D3B63">
      <w:rPr>
        <w:rStyle w:val="a8"/>
        <w:rFonts w:ascii="Times New Roman" w:hAnsi="Times New Roman"/>
        <w:sz w:val="20"/>
        <w:szCs w:val="20"/>
      </w:rPr>
      <w:fldChar w:fldCharType="separate"/>
    </w:r>
    <w:r w:rsidR="0058284C">
      <w:rPr>
        <w:rStyle w:val="a8"/>
        <w:rFonts w:ascii="Times New Roman" w:hAnsi="Times New Roman"/>
        <w:noProof/>
        <w:sz w:val="20"/>
        <w:szCs w:val="20"/>
      </w:rPr>
      <w:t>11</w:t>
    </w:r>
    <w:r w:rsidRPr="009D3B63">
      <w:rPr>
        <w:rStyle w:val="a8"/>
        <w:rFonts w:ascii="Times New Roman" w:hAnsi="Times New Roman"/>
        <w:sz w:val="20"/>
        <w:szCs w:val="20"/>
      </w:rPr>
      <w:fldChar w:fldCharType="end"/>
    </w:r>
  </w:p>
  <w:p w:rsidR="0032558B" w:rsidRDefault="003255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1A7"/>
    <w:multiLevelType w:val="multilevel"/>
    <w:tmpl w:val="0E5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72F7D"/>
    <w:multiLevelType w:val="multilevel"/>
    <w:tmpl w:val="84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C738D"/>
    <w:multiLevelType w:val="multilevel"/>
    <w:tmpl w:val="7600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B61D52"/>
    <w:multiLevelType w:val="multilevel"/>
    <w:tmpl w:val="0258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673485"/>
    <w:multiLevelType w:val="multilevel"/>
    <w:tmpl w:val="259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4"/>
    <w:rsid w:val="00034924"/>
    <w:rsid w:val="0004682E"/>
    <w:rsid w:val="0009653E"/>
    <w:rsid w:val="000B2668"/>
    <w:rsid w:val="000B5973"/>
    <w:rsid w:val="000D1FCD"/>
    <w:rsid w:val="000F302F"/>
    <w:rsid w:val="000F65AC"/>
    <w:rsid w:val="00154950"/>
    <w:rsid w:val="00162B1C"/>
    <w:rsid w:val="001B6267"/>
    <w:rsid w:val="00232F6B"/>
    <w:rsid w:val="002472D9"/>
    <w:rsid w:val="003237B6"/>
    <w:rsid w:val="0032558B"/>
    <w:rsid w:val="00330891"/>
    <w:rsid w:val="0036586E"/>
    <w:rsid w:val="00374E74"/>
    <w:rsid w:val="003F25FA"/>
    <w:rsid w:val="004306B4"/>
    <w:rsid w:val="004508C6"/>
    <w:rsid w:val="00464399"/>
    <w:rsid w:val="004A1CB4"/>
    <w:rsid w:val="004D1A9C"/>
    <w:rsid w:val="00540572"/>
    <w:rsid w:val="005809A5"/>
    <w:rsid w:val="0058284C"/>
    <w:rsid w:val="00585C0E"/>
    <w:rsid w:val="005E3173"/>
    <w:rsid w:val="005F558E"/>
    <w:rsid w:val="00602FF4"/>
    <w:rsid w:val="00621515"/>
    <w:rsid w:val="006D2CFD"/>
    <w:rsid w:val="006E1E75"/>
    <w:rsid w:val="007B2D01"/>
    <w:rsid w:val="007E6F0A"/>
    <w:rsid w:val="008159D5"/>
    <w:rsid w:val="00860261"/>
    <w:rsid w:val="00880138"/>
    <w:rsid w:val="008A1F59"/>
    <w:rsid w:val="008A7A22"/>
    <w:rsid w:val="008E2701"/>
    <w:rsid w:val="00907D6C"/>
    <w:rsid w:val="00940CDF"/>
    <w:rsid w:val="009D3B63"/>
    <w:rsid w:val="00A7027D"/>
    <w:rsid w:val="00A92DE1"/>
    <w:rsid w:val="00AB777F"/>
    <w:rsid w:val="00AE783F"/>
    <w:rsid w:val="00B9670B"/>
    <w:rsid w:val="00B96EA7"/>
    <w:rsid w:val="00CB0704"/>
    <w:rsid w:val="00CB3DB2"/>
    <w:rsid w:val="00CD2995"/>
    <w:rsid w:val="00CD416B"/>
    <w:rsid w:val="00CF41EA"/>
    <w:rsid w:val="00CF6D80"/>
    <w:rsid w:val="00D358C1"/>
    <w:rsid w:val="00D72ADF"/>
    <w:rsid w:val="00DE513D"/>
    <w:rsid w:val="00E26FE8"/>
    <w:rsid w:val="00E46F80"/>
    <w:rsid w:val="00F1686D"/>
    <w:rsid w:val="00F238C5"/>
    <w:rsid w:val="00F70D49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4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F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2FF4"/>
    <w:rPr>
      <w:rFonts w:cs="Times New Roman"/>
    </w:rPr>
  </w:style>
  <w:style w:type="character" w:styleId="a4">
    <w:name w:val="Hyperlink"/>
    <w:basedOn w:val="a0"/>
    <w:uiPriority w:val="99"/>
    <w:semiHidden/>
    <w:rsid w:val="00602FF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36586E"/>
    <w:pPr>
      <w:spacing w:after="20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34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A22"/>
    <w:rPr>
      <w:rFonts w:cs="Times New Roman"/>
      <w:lang w:eastAsia="en-US"/>
    </w:rPr>
  </w:style>
  <w:style w:type="character" w:styleId="a8">
    <w:name w:val="page number"/>
    <w:basedOn w:val="a0"/>
    <w:uiPriority w:val="99"/>
    <w:rsid w:val="00034924"/>
    <w:rPr>
      <w:rFonts w:cs="Times New Roman"/>
    </w:rPr>
  </w:style>
  <w:style w:type="paragraph" w:styleId="a9">
    <w:name w:val="header"/>
    <w:basedOn w:val="a"/>
    <w:link w:val="aa"/>
    <w:uiPriority w:val="99"/>
    <w:rsid w:val="009D3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A7A2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4057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5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4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F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2FF4"/>
    <w:rPr>
      <w:rFonts w:cs="Times New Roman"/>
    </w:rPr>
  </w:style>
  <w:style w:type="character" w:styleId="a4">
    <w:name w:val="Hyperlink"/>
    <w:basedOn w:val="a0"/>
    <w:uiPriority w:val="99"/>
    <w:semiHidden/>
    <w:rsid w:val="00602FF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36586E"/>
    <w:pPr>
      <w:spacing w:after="20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34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A22"/>
    <w:rPr>
      <w:rFonts w:cs="Times New Roman"/>
      <w:lang w:eastAsia="en-US"/>
    </w:rPr>
  </w:style>
  <w:style w:type="character" w:styleId="a8">
    <w:name w:val="page number"/>
    <w:basedOn w:val="a0"/>
    <w:uiPriority w:val="99"/>
    <w:rsid w:val="00034924"/>
    <w:rPr>
      <w:rFonts w:cs="Times New Roman"/>
    </w:rPr>
  </w:style>
  <w:style w:type="paragraph" w:styleId="a9">
    <w:name w:val="header"/>
    <w:basedOn w:val="a"/>
    <w:link w:val="aa"/>
    <w:uiPriority w:val="99"/>
    <w:rsid w:val="009D3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A7A2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4057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5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FCE473E7F483D14D6A9905CD399BD175DA7207E4F177EB86A7815D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2019-03-11T06:59:00Z</cp:lastPrinted>
  <dcterms:created xsi:type="dcterms:W3CDTF">2019-03-11T06:52:00Z</dcterms:created>
  <dcterms:modified xsi:type="dcterms:W3CDTF">2019-03-11T07:00:00Z</dcterms:modified>
</cp:coreProperties>
</file>